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Calibri" w:hAnsi="Calibri" w:cs="Calibri"/>
          <w:b/>
          <w:bCs/>
          <w:highlight w:val="none"/>
        </w:rPr>
      </w:pPr>
      <w:r>
        <w:rPr>
          <w:rFonts w:ascii="Calibri" w:hAnsi="Calibri" w:eastAsia="Calibri" w:cs="Calibri"/>
          <w:b/>
          <w:bCs/>
        </w:rPr>
        <w:t xml:space="preserve">Classe de 1ère</w:t>
      </w:r>
      <w:r>
        <w:rPr>
          <w:rFonts w:ascii="Calibri" w:hAnsi="Calibri" w:cs="Calibri"/>
          <w:b/>
          <w:bCs/>
          <w:highlight w:val="none"/>
        </w:rPr>
      </w:r>
      <w:r>
        <w:rPr>
          <w:rFonts w:ascii="Calibri" w:hAnsi="Calibri" w:cs="Calibri"/>
          <w:b/>
          <w:bCs/>
          <w:highlight w:val="none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Planning  janvier à mars 2026  </w:t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Séquence III-  La littérature d’idées. 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Etude d’une œuvre intégrale : L</w:t>
      </w:r>
      <w:r>
        <w:rPr>
          <w:rFonts w:ascii="Calibri" w:hAnsi="Calibri" w:eastAsia="Calibri" w:cs="Calibri"/>
          <w:b/>
          <w:bCs/>
          <w:i/>
          <w:iCs/>
          <w:sz w:val="24"/>
          <w:szCs w:val="24"/>
          <w:highlight w:val="none"/>
        </w:rPr>
        <w:t xml:space="preserve">ettres d’une Péruvienne, 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Graffigny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. 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Parcours : « Un nouvel univers s’est offert à mes yeux ». 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tbl>
      <w:tblPr>
        <w:tblStyle w:val="11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  <w:t xml:space="preserve">Cours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  <w:t xml:space="preserve">Devoirs et Contrôles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1 :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Explication du parcours.</w:t>
            </w:r>
            <w:r/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2 :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 Le vocabulaire de l’argumentation. </w:t>
            </w:r>
            <w:r/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3 : Argumentation directe et argumentation indirecte. 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4 : Présentation de l’œuvre et de son contexte. </w:t>
            </w:r>
            <w:r>
              <w:rPr>
                <w:rFonts w:ascii="Calibri" w:hAnsi="Calibri" w:cs="Calibri"/>
                <w:sz w:val="24"/>
                <w:szCs w:val="24"/>
              </w:rPr>
            </w:r>
            <w:r/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sur la séance 1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sur la séance 2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sur la séance 3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sur la séance 4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de lecture :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L</w:t>
            </w:r>
            <w:r>
              <w:rPr>
                <w:rFonts w:ascii="Calibri" w:hAnsi="Calibri" w:eastAsia="Calibri" w:cs="Calibri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ettres d’une Péruvienne,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Graffigny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Chercher le vocabulaire inconnu dans les LL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Apprendre les LL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Rédiger introductions et conclusions des LL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Contrôle de lecture : lecture cursive au choix.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Style w:val="664"/>
              <w:numPr>
                <w:ilvl w:val="0"/>
                <w:numId w:val="1"/>
              </w:num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Apprendre les sujets de dissertation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5 : LL1 : Lettre XII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6 : LL2 : Lettre XXXIV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7 : LL3 : Lettre XXXVIII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8 : Grammaire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9 : LL 4 : Montaigne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10 : grammaire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11 : Entraînement au commentaire.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Séance 12: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  <w:t xml:space="preserve"> Entraînement à la dissertation. 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</w:tbl>
    <w:p>
      <w:pPr>
        <w:pBdr/>
        <w:spacing/>
        <w:ind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/>
        <w:ind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2026-01-21T18:28:09Z</dcterms:modified>
</cp:coreProperties>
</file>