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eastAsia="Calibri" w:cs="Calibri"/>
          <w:b/>
          <w:bCs/>
        </w:rPr>
        <w:t xml:space="preserve">Classe de 1ère</w:t>
      </w: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Planning de novembre à janvier 2026 ; </w:t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Séquence II-  Le roman du XVIème à nos jours.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Etude d’une œuvre intégrale : </w:t>
      </w:r>
      <w:r>
        <w:rPr>
          <w:rFonts w:ascii="Calibri" w:hAnsi="Calibri" w:eastAsia="Calibri" w:cs="Calibri"/>
          <w:b/>
          <w:bCs/>
          <w:i/>
          <w:iCs/>
          <w:sz w:val="24"/>
          <w:szCs w:val="24"/>
          <w:highlight w:val="none"/>
        </w:rPr>
        <w:t xml:space="preserve">Manon Lescaut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, Abbé Prévost.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Parcours : personnages en marge.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tbl>
      <w:tblPr>
        <w:tblStyle w:val="11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  <w:t xml:space="preserve">Cours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  <w:t xml:space="preserve">Devoirs et Contrôles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1 : Les composantes du récit.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2 :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Explication du parcours</w:t>
            </w:r>
            <w:r/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3 : Présentation de l’œuvre et de son contexte. 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1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2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3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de lecture : Manon Lescaut</w:t>
            </w:r>
            <w:r>
              <w:rPr>
                <w:rFonts w:ascii="Calibri" w:hAnsi="Calibri" w:cs="Calibri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Chercher le vocabulaire inconnu dans les LL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Apprendre les LL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Rédiger introductions et conclusions des LL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de lecture : lecture cursive au choix.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Apprendre les sujets de dissertation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4 : LL1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5 : LL2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6 : LL3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7 : LL4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8 : Entraînement au commentaire.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9 :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 Entraînement à la dissertation.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10 :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Grammaire.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</w:tbl>
    <w:p>
      <w:pPr>
        <w:pBdr/>
        <w:spacing/>
        <w:ind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2025-11-11T15:00:27Z</dcterms:modified>
</cp:coreProperties>
</file>