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6A97" w14:textId="77777777" w:rsidR="002F7298" w:rsidRDefault="00000000">
      <w:pPr>
        <w:jc w:val="right"/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Classe de 1ère</w:t>
      </w:r>
    </w:p>
    <w:p w14:paraId="4FED09BB" w14:textId="77777777" w:rsidR="002F7298" w:rsidRDefault="0000000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Planning (de septembre à novembre 2025)</w:t>
      </w:r>
    </w:p>
    <w:p w14:paraId="539B33D5" w14:textId="77777777" w:rsidR="002F7298" w:rsidRDefault="00000000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Séquence II- Le théâtre / Corneille,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Le Menteur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/ Parcours : Mensonge et comédie</w:t>
      </w:r>
    </w:p>
    <w:p w14:paraId="0420579C" w14:textId="77777777" w:rsidR="002F7298" w:rsidRDefault="002F7298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7298" w14:paraId="0DD21785" w14:textId="77777777">
        <w:tc>
          <w:tcPr>
            <w:tcW w:w="4677" w:type="dxa"/>
          </w:tcPr>
          <w:p w14:paraId="67CDBE5B" w14:textId="77777777" w:rsidR="002F7298" w:rsidRDefault="0000000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Cours</w:t>
            </w:r>
          </w:p>
        </w:tc>
        <w:tc>
          <w:tcPr>
            <w:tcW w:w="4677" w:type="dxa"/>
          </w:tcPr>
          <w:p w14:paraId="5B0C9C39" w14:textId="77777777" w:rsidR="002F7298" w:rsidRDefault="0000000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Devoirs et Contrôles</w:t>
            </w:r>
          </w:p>
        </w:tc>
      </w:tr>
      <w:tr w:rsidR="002F7298" w14:paraId="12B5F362" w14:textId="77777777">
        <w:tc>
          <w:tcPr>
            <w:tcW w:w="4677" w:type="dxa"/>
          </w:tcPr>
          <w:p w14:paraId="4FDCF081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1 : Citations et vocabulaire propres au théâtre (1h)</w:t>
            </w:r>
          </w:p>
          <w:p w14:paraId="6A035EA0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Séance 2 : L’évolution du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théâtre  (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2 h)</w:t>
            </w:r>
          </w:p>
          <w:p w14:paraId="1E521132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3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 :Entraînement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au commentaire (2 h</w:t>
            </w:r>
          </w:p>
        </w:tc>
        <w:tc>
          <w:tcPr>
            <w:tcW w:w="4677" w:type="dxa"/>
            <w:vMerge w:val="restart"/>
          </w:tcPr>
          <w:p w14:paraId="4D6A6250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Contrôle sur la séance 1</w:t>
            </w:r>
          </w:p>
          <w:p w14:paraId="054A64EB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Contrôle sur la séance 2</w:t>
            </w:r>
          </w:p>
          <w:p w14:paraId="120E3449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Contrôle sur la séance 4</w:t>
            </w:r>
          </w:p>
          <w:p w14:paraId="45F88EBD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Contrôle sur la séance 5</w:t>
            </w:r>
          </w:p>
          <w:p w14:paraId="6B88C7AB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Contrôle de lecture : Corneille,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Le Menteur</w:t>
            </w:r>
          </w:p>
          <w:p w14:paraId="7960D13F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Contrôle sur la séance 6</w:t>
            </w:r>
          </w:p>
          <w:p w14:paraId="12484DE8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Exercices sur la séance 7 + contrôle</w:t>
            </w:r>
          </w:p>
          <w:p w14:paraId="7AE18609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Chercher le vocabulaire inconnu dans les LL</w:t>
            </w:r>
          </w:p>
          <w:p w14:paraId="38DFEF6C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Apprendre les LL</w:t>
            </w:r>
          </w:p>
          <w:p w14:paraId="01F0C826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Rédiger introductions et conclusions des LL</w:t>
            </w:r>
          </w:p>
          <w:p w14:paraId="0D3AF8FA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Contrôle de lecture : lecture cursive au choix. </w:t>
            </w:r>
          </w:p>
          <w:p w14:paraId="2A6E57E1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Exercices sur la séance 9 + contrôle</w:t>
            </w:r>
          </w:p>
          <w:p w14:paraId="662E2107" w14:textId="77777777" w:rsidR="002F7298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Apprendre les sujets de dissertation</w:t>
            </w:r>
          </w:p>
        </w:tc>
      </w:tr>
      <w:tr w:rsidR="002F7298" w14:paraId="066D54C1" w14:textId="77777777">
        <w:tc>
          <w:tcPr>
            <w:tcW w:w="4677" w:type="dxa"/>
          </w:tcPr>
          <w:p w14:paraId="6946ACB3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4 :  Explication du parcours(1h)</w:t>
            </w:r>
          </w:p>
        </w:tc>
        <w:tc>
          <w:tcPr>
            <w:tcW w:w="4677" w:type="dxa"/>
            <w:vMerge/>
          </w:tcPr>
          <w:p w14:paraId="575C2E69" w14:textId="77777777" w:rsidR="002F7298" w:rsidRDefault="002F7298"/>
        </w:tc>
      </w:tr>
      <w:tr w:rsidR="002F7298" w14:paraId="4C413F3F" w14:textId="77777777">
        <w:tc>
          <w:tcPr>
            <w:tcW w:w="4677" w:type="dxa"/>
          </w:tcPr>
          <w:p w14:paraId="2B592517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5 : Entraînement à la dissertation. (2h)</w:t>
            </w:r>
          </w:p>
        </w:tc>
        <w:tc>
          <w:tcPr>
            <w:tcW w:w="4677" w:type="dxa"/>
            <w:vMerge/>
          </w:tcPr>
          <w:p w14:paraId="15F0A6F2" w14:textId="77777777" w:rsidR="002F7298" w:rsidRDefault="002F7298"/>
        </w:tc>
      </w:tr>
      <w:tr w:rsidR="002F7298" w14:paraId="24A40601" w14:textId="77777777">
        <w:tc>
          <w:tcPr>
            <w:tcW w:w="4677" w:type="dxa"/>
          </w:tcPr>
          <w:p w14:paraId="7E24299A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6 : Présentation de l’auteur, de l’œuvre et du mouvement littéraire. (2h)</w:t>
            </w:r>
          </w:p>
        </w:tc>
        <w:tc>
          <w:tcPr>
            <w:tcW w:w="4677" w:type="dxa"/>
            <w:vMerge/>
          </w:tcPr>
          <w:p w14:paraId="4C5CF15B" w14:textId="77777777" w:rsidR="002F7298" w:rsidRDefault="002F7298"/>
        </w:tc>
      </w:tr>
      <w:tr w:rsidR="002F7298" w14:paraId="7A2ED28C" w14:textId="77777777">
        <w:tc>
          <w:tcPr>
            <w:tcW w:w="4677" w:type="dxa"/>
          </w:tcPr>
          <w:p w14:paraId="438714F4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7 : Grammaire : la négation(2h)</w:t>
            </w:r>
          </w:p>
        </w:tc>
        <w:tc>
          <w:tcPr>
            <w:tcW w:w="4677" w:type="dxa"/>
            <w:vMerge/>
          </w:tcPr>
          <w:p w14:paraId="303B9E26" w14:textId="77777777" w:rsidR="002F7298" w:rsidRDefault="002F7298"/>
        </w:tc>
      </w:tr>
      <w:tr w:rsidR="002F7298" w14:paraId="742CB79E" w14:textId="77777777">
        <w:tc>
          <w:tcPr>
            <w:tcW w:w="4677" w:type="dxa"/>
          </w:tcPr>
          <w:p w14:paraId="71502E48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8 : LL1 (3h)</w:t>
            </w:r>
          </w:p>
        </w:tc>
        <w:tc>
          <w:tcPr>
            <w:tcW w:w="4677" w:type="dxa"/>
            <w:vMerge/>
          </w:tcPr>
          <w:p w14:paraId="2C0C6FE0" w14:textId="77777777" w:rsidR="002F7298" w:rsidRDefault="002F7298"/>
        </w:tc>
      </w:tr>
      <w:tr w:rsidR="002F7298" w14:paraId="48C158E8" w14:textId="77777777">
        <w:tc>
          <w:tcPr>
            <w:tcW w:w="4677" w:type="dxa"/>
          </w:tcPr>
          <w:p w14:paraId="728D2108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9 : Grammaire : les propositions subordonnées (2h)</w:t>
            </w:r>
          </w:p>
        </w:tc>
        <w:tc>
          <w:tcPr>
            <w:tcW w:w="4677" w:type="dxa"/>
            <w:vMerge/>
          </w:tcPr>
          <w:p w14:paraId="2B391AAE" w14:textId="77777777" w:rsidR="002F7298" w:rsidRDefault="002F7298"/>
        </w:tc>
      </w:tr>
      <w:tr w:rsidR="002F7298" w14:paraId="397B8E3A" w14:textId="77777777">
        <w:tc>
          <w:tcPr>
            <w:tcW w:w="4677" w:type="dxa"/>
          </w:tcPr>
          <w:p w14:paraId="3C7C9200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10 : LL2 (3h)</w:t>
            </w:r>
          </w:p>
        </w:tc>
        <w:tc>
          <w:tcPr>
            <w:tcW w:w="4677" w:type="dxa"/>
            <w:vMerge/>
          </w:tcPr>
          <w:p w14:paraId="11F9DC0D" w14:textId="77777777" w:rsidR="002F7298" w:rsidRDefault="002F7298"/>
        </w:tc>
      </w:tr>
      <w:tr w:rsidR="002F7298" w14:paraId="350B53DA" w14:textId="77777777">
        <w:tc>
          <w:tcPr>
            <w:tcW w:w="4677" w:type="dxa"/>
          </w:tcPr>
          <w:p w14:paraId="540C270D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11 : LL3 (3h)</w:t>
            </w:r>
          </w:p>
        </w:tc>
        <w:tc>
          <w:tcPr>
            <w:tcW w:w="4677" w:type="dxa"/>
            <w:vMerge/>
          </w:tcPr>
          <w:p w14:paraId="714311B5" w14:textId="77777777" w:rsidR="002F7298" w:rsidRDefault="002F7298"/>
        </w:tc>
      </w:tr>
      <w:tr w:rsidR="002F7298" w14:paraId="3B2760EE" w14:textId="77777777">
        <w:tc>
          <w:tcPr>
            <w:tcW w:w="4677" w:type="dxa"/>
          </w:tcPr>
          <w:p w14:paraId="0E9C98DB" w14:textId="77777777" w:rsidR="002F729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Séance 12 : LL4 (3h)</w:t>
            </w:r>
          </w:p>
        </w:tc>
        <w:tc>
          <w:tcPr>
            <w:tcW w:w="4677" w:type="dxa"/>
            <w:vMerge/>
          </w:tcPr>
          <w:p w14:paraId="28A0C80D" w14:textId="77777777" w:rsidR="002F7298" w:rsidRDefault="002F7298"/>
        </w:tc>
      </w:tr>
    </w:tbl>
    <w:p w14:paraId="543D0295" w14:textId="77777777" w:rsidR="002F7298" w:rsidRDefault="002F7298">
      <w:pPr>
        <w:rPr>
          <w:rFonts w:ascii="Calibri" w:hAnsi="Calibri" w:cs="Calibri"/>
          <w:sz w:val="24"/>
          <w:szCs w:val="24"/>
        </w:rPr>
      </w:pPr>
    </w:p>
    <w:p w14:paraId="61A448CF" w14:textId="77777777" w:rsidR="007E38C2" w:rsidRDefault="007E38C2" w:rsidP="007E38C2">
      <w:pPr>
        <w:suppressLineNumbers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fr-FR"/>
        </w:rPr>
        <w:t>Liste des œuvres romanesques à lire :</w:t>
      </w:r>
    </w:p>
    <w:p w14:paraId="768A0E74" w14:textId="77777777" w:rsidR="007E38C2" w:rsidRDefault="007E38C2" w:rsidP="007E38C2">
      <w:pPr>
        <w:suppressLineNumbers/>
        <w:spacing w:after="0" w:line="240" w:lineRule="auto"/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eastAsia="fr-FR"/>
        </w:rPr>
      </w:pPr>
    </w:p>
    <w:p w14:paraId="29596F81" w14:textId="77777777" w:rsidR="007E38C2" w:rsidRDefault="007E38C2" w:rsidP="007E38C2">
      <w:pPr>
        <w:suppressLineNumbers/>
        <w:spacing w:after="0" w:line="240" w:lineRule="auto"/>
        <w:rPr>
          <w:rFonts w:ascii="Calibri" w:eastAsia="Times New Roman" w:hAnsi="Calibri" w:cs="Times New Roman"/>
          <w:bCs/>
          <w:i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u w:val="single"/>
          <w:lang w:eastAsia="fr-FR"/>
        </w:rPr>
        <w:t>Obligatoire :</w:t>
      </w:r>
      <w:r>
        <w:rPr>
          <w:rFonts w:ascii="Calibri" w:eastAsia="Times New Roman" w:hAnsi="Calibri" w:cs="Times New Roman"/>
          <w:iCs/>
          <w:color w:val="000000"/>
          <w:sz w:val="24"/>
          <w:szCs w:val="24"/>
          <w:lang w:eastAsia="fr-FR"/>
        </w:rPr>
        <w:t xml:space="preserve"> 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fr-FR"/>
        </w:rPr>
        <w:t>Manon Lescaut</w:t>
      </w:r>
      <w:r>
        <w:rPr>
          <w:rFonts w:ascii="Calibri" w:eastAsia="Times New Roman" w:hAnsi="Calibri" w:cs="Times New Roman"/>
          <w:iCs/>
          <w:color w:val="000000"/>
          <w:sz w:val="24"/>
          <w:szCs w:val="24"/>
          <w:lang w:eastAsia="fr-FR"/>
        </w:rPr>
        <w:t xml:space="preserve">, Abbé Prévost. POUR LE  17 novembre 2025. </w:t>
      </w:r>
    </w:p>
    <w:p w14:paraId="671768F9" w14:textId="77777777" w:rsidR="007E38C2" w:rsidRDefault="007E38C2" w:rsidP="007E38C2">
      <w:pPr>
        <w:suppressLineNumber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14:paraId="082312BE" w14:textId="77777777" w:rsidR="007E38C2" w:rsidRDefault="007E38C2" w:rsidP="007E38C2">
      <w:pPr>
        <w:suppressLineNumber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u w:val="single"/>
          <w:lang w:eastAsia="fr-FR"/>
        </w:rPr>
        <w:t>Obligatoire : une œuvre au choix parmi les suivantes </w:t>
      </w:r>
      <w:r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fr-FR"/>
        </w:rPr>
        <w:t xml:space="preserve">(en lien avec le parcours : Personnage en marge, plaisirs du romanesque) / Edition au </w:t>
      </w:r>
      <w:proofErr w:type="gramStart"/>
      <w:r>
        <w:rPr>
          <w:rFonts w:ascii="Calibri" w:eastAsia="Times New Roman" w:hAnsi="Calibri" w:cs="Times New Roman"/>
          <w:b/>
          <w:bCs/>
          <w:iCs/>
          <w:color w:val="000000"/>
          <w:sz w:val="24"/>
          <w:szCs w:val="24"/>
          <w:lang w:eastAsia="fr-FR"/>
        </w:rPr>
        <w:t xml:space="preserve">choix  </w:t>
      </w:r>
      <w:r>
        <w:rPr>
          <w:rFonts w:ascii="Calibri" w:eastAsia="Times New Roman" w:hAnsi="Calibri" w:cs="Times New Roman"/>
          <w:iCs/>
          <w:color w:val="000000"/>
          <w:sz w:val="24"/>
          <w:szCs w:val="24"/>
          <w:lang w:eastAsia="fr-FR"/>
        </w:rPr>
        <w:t>POUR</w:t>
      </w:r>
      <w:proofErr w:type="gramEnd"/>
      <w:r>
        <w:rPr>
          <w:rFonts w:ascii="Calibri" w:eastAsia="Times New Roman" w:hAnsi="Calibri" w:cs="Times New Roman"/>
          <w:iCs/>
          <w:color w:val="000000"/>
          <w:sz w:val="24"/>
          <w:szCs w:val="24"/>
          <w:lang w:eastAsia="fr-FR"/>
        </w:rPr>
        <w:t xml:space="preserve"> LE 4 décembre 2025. </w:t>
      </w:r>
    </w:p>
    <w:p w14:paraId="4492C748" w14:textId="77777777" w:rsidR="007E38C2" w:rsidRDefault="007E38C2" w:rsidP="007E38C2">
      <w:pPr>
        <w:suppressLineNumber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14:paraId="4DF40134" w14:textId="77777777" w:rsidR="007E38C2" w:rsidRDefault="007E38C2" w:rsidP="007E38C2">
      <w:pPr>
        <w:suppressLineNumber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24DEFEE2" w14:textId="77777777" w:rsidR="007E38C2" w:rsidRDefault="007E38C2" w:rsidP="007E38C2">
      <w:pPr>
        <w:suppressLineNumbers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lang w:eastAsia="fr-FR"/>
        </w:rPr>
        <w:t>Laclos</w:t>
      </w:r>
      <w:r>
        <w:rPr>
          <w:rFonts w:ascii="Calibri" w:eastAsia="Times New Roman" w:hAnsi="Calibri" w:cs="Times New Roman"/>
          <w:lang w:eastAsia="fr-FR"/>
        </w:rPr>
        <w:t xml:space="preserve">, </w:t>
      </w:r>
      <w:r>
        <w:rPr>
          <w:rFonts w:ascii="Calibri" w:eastAsia="Times New Roman" w:hAnsi="Calibri" w:cs="Times New Roman"/>
          <w:i/>
          <w:iCs/>
          <w:lang w:eastAsia="fr-FR"/>
        </w:rPr>
        <w:t xml:space="preserve">Les Liaisons dangereuses </w:t>
      </w:r>
      <w:r>
        <w:rPr>
          <w:rFonts w:ascii="Calibri" w:eastAsia="Times New Roman" w:hAnsi="Calibri" w:cs="Times New Roman"/>
          <w:lang w:eastAsia="fr-FR"/>
        </w:rPr>
        <w:t>(1782)</w:t>
      </w:r>
    </w:p>
    <w:p w14:paraId="19E4F986" w14:textId="77777777" w:rsidR="007E38C2" w:rsidRDefault="007E38C2" w:rsidP="007E38C2">
      <w:pPr>
        <w:suppressLineNumbers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lang w:eastAsia="fr-FR"/>
        </w:rPr>
        <w:t xml:space="preserve">Dans ce roman épistolaire polyphonique, Valmont et la marquise de Merteuil, amis (et anciens amants) sont des maîtres en libertinage. </w:t>
      </w:r>
      <w:r>
        <w:rPr>
          <w:rFonts w:ascii="Calibri" w:eastAsia="Times New Roman" w:hAnsi="Calibri" w:cs="Times New Roman"/>
          <w:b/>
          <w:bCs/>
          <w:lang w:eastAsia="fr-FR"/>
        </w:rPr>
        <w:t>Ces personnages en marge</w:t>
      </w:r>
      <w:r>
        <w:rPr>
          <w:rFonts w:ascii="Calibri" w:eastAsia="Times New Roman" w:hAnsi="Calibri" w:cs="Times New Roman"/>
          <w:lang w:eastAsia="fr-FR"/>
        </w:rPr>
        <w:t xml:space="preserve"> recherchent le plaisir mais sont surtout de </w:t>
      </w:r>
      <w:proofErr w:type="gramStart"/>
      <w:r>
        <w:rPr>
          <w:rFonts w:ascii="Calibri" w:eastAsia="Times New Roman" w:hAnsi="Calibri" w:cs="Times New Roman"/>
          <w:lang w:eastAsia="fr-FR"/>
        </w:rPr>
        <w:t>fins calculateurs</w:t>
      </w:r>
      <w:proofErr w:type="gramEnd"/>
      <w:r>
        <w:rPr>
          <w:rFonts w:ascii="Calibri" w:eastAsia="Times New Roman" w:hAnsi="Calibri" w:cs="Times New Roman"/>
          <w:lang w:eastAsia="fr-FR"/>
        </w:rPr>
        <w:t xml:space="preserve"> qui agissent par jeu (Valmont) ou par vengeance sur la domination des hommes (Merteuil). L’échange de lettres que Laclos a déclaré être « authentiques » entre amis permet de connaître les pensées et sentiments profonds des personnages, ce qui participe au</w:t>
      </w:r>
      <w:r>
        <w:rPr>
          <w:rFonts w:ascii="Calibri" w:eastAsia="Times New Roman" w:hAnsi="Calibri" w:cs="Times New Roman"/>
          <w:b/>
          <w:bCs/>
          <w:lang w:eastAsia="fr-FR"/>
        </w:rPr>
        <w:t xml:space="preserve"> plaisir du romanesque. </w:t>
      </w:r>
    </w:p>
    <w:p w14:paraId="00453FDB" w14:textId="77777777" w:rsidR="007E38C2" w:rsidRDefault="007E38C2" w:rsidP="007E38C2">
      <w:pPr>
        <w:suppressLineNumbers/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7BAF748B" w14:textId="77777777" w:rsidR="007E38C2" w:rsidRDefault="007E38C2" w:rsidP="007E38C2">
      <w:pPr>
        <w:suppressLineNumbers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lang w:eastAsia="fr-FR"/>
        </w:rPr>
        <w:t>Stefan Zweig</w:t>
      </w:r>
      <w:r>
        <w:rPr>
          <w:rFonts w:ascii="Calibri" w:eastAsia="Times New Roman" w:hAnsi="Calibri" w:cs="Times New Roman"/>
          <w:lang w:eastAsia="fr-FR"/>
        </w:rPr>
        <w:t xml:space="preserve">, </w:t>
      </w:r>
      <w:r>
        <w:rPr>
          <w:rFonts w:ascii="Calibri" w:eastAsia="Times New Roman" w:hAnsi="Calibri" w:cs="Times New Roman"/>
          <w:i/>
          <w:iCs/>
          <w:lang w:eastAsia="fr-FR"/>
        </w:rPr>
        <w:t>Lettre d’une inconnue</w:t>
      </w:r>
      <w:r>
        <w:rPr>
          <w:rFonts w:ascii="Calibri" w:eastAsia="Times New Roman" w:hAnsi="Calibri" w:cs="Times New Roman"/>
          <w:lang w:eastAsia="fr-FR"/>
        </w:rPr>
        <w:t xml:space="preserve"> (1922)</w:t>
      </w:r>
    </w:p>
    <w:p w14:paraId="1516FD59" w14:textId="77777777" w:rsidR="007E38C2" w:rsidRDefault="007E38C2" w:rsidP="007E38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Calibri" w:eastAsia="Times New Roman" w:hAnsi="Calibri" w:cs="Times New Roman"/>
          <w:lang w:eastAsia="fr-FR"/>
        </w:rPr>
        <w:t>C’est un court roman (ou longue nouvelle) qui commence lorsqu’un jeune écrivain viennois reçoit une lettre : celle d’une femme qu’il a connue et sans qu’il ne le sache a eu un enfant de lui.</w:t>
      </w:r>
      <w:r>
        <w:rPr>
          <w:rFonts w:ascii="Calibri" w:eastAsia="Times New Roman" w:hAnsi="Calibri" w:cs="Times New Roman"/>
          <w:b/>
          <w:bCs/>
          <w:lang w:eastAsia="fr-FR"/>
        </w:rPr>
        <w:t xml:space="preserve"> Le plaisir du romanesque</w:t>
      </w:r>
      <w:r>
        <w:rPr>
          <w:rFonts w:ascii="Calibri" w:eastAsia="Times New Roman" w:hAnsi="Calibri" w:cs="Times New Roman"/>
          <w:lang w:eastAsia="fr-FR"/>
        </w:rPr>
        <w:t xml:space="preserve"> vient de cette lettre d’amour absolu, obsessionnel au travers duquel cette inconnue a voué sa vie, ce qui en fait un</w:t>
      </w:r>
      <w:r>
        <w:rPr>
          <w:rFonts w:ascii="Calibri" w:eastAsia="Times New Roman" w:hAnsi="Calibri" w:cs="Times New Roman"/>
          <w:b/>
          <w:bCs/>
          <w:lang w:eastAsia="fr-FR"/>
        </w:rPr>
        <w:t xml:space="preserve"> personnage en marge</w:t>
      </w:r>
      <w:r>
        <w:rPr>
          <w:rFonts w:ascii="Calibri" w:eastAsia="Times New Roman" w:hAnsi="Calibri" w:cs="Times New Roman"/>
          <w:lang w:eastAsia="fr-FR"/>
        </w:rPr>
        <w:t xml:space="preserve">, qui est aussi une </w:t>
      </w:r>
      <w:proofErr w:type="gramStart"/>
      <w:r>
        <w:rPr>
          <w:rFonts w:ascii="Calibri" w:eastAsia="Times New Roman" w:hAnsi="Calibri" w:cs="Times New Roman"/>
          <w:lang w:eastAsia="fr-FR"/>
        </w:rPr>
        <w:t>lettre  d’adieu</w:t>
      </w:r>
      <w:proofErr w:type="gramEnd"/>
      <w:r>
        <w:rPr>
          <w:rFonts w:ascii="Calibri" w:eastAsia="Times New Roman" w:hAnsi="Calibri" w:cs="Times New Roman"/>
          <w:lang w:eastAsia="fr-FR"/>
        </w:rPr>
        <w:t xml:space="preserve">. </w:t>
      </w:r>
    </w:p>
    <w:p w14:paraId="2E0202FE" w14:textId="77777777" w:rsidR="007E38C2" w:rsidRDefault="007E38C2" w:rsidP="007E38C2">
      <w:pPr>
        <w:suppressLineNumbers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lang w:eastAsia="fr-FR"/>
        </w:rPr>
        <w:lastRenderedPageBreak/>
        <w:t>Romain Gary</w:t>
      </w:r>
      <w:r>
        <w:rPr>
          <w:rFonts w:ascii="Calibri" w:eastAsia="Times New Roman" w:hAnsi="Calibri" w:cs="Times New Roman"/>
          <w:lang w:eastAsia="fr-FR"/>
        </w:rPr>
        <w:t>,</w:t>
      </w:r>
      <w:r>
        <w:rPr>
          <w:rFonts w:ascii="Calibri" w:eastAsia="Times New Roman" w:hAnsi="Calibri" w:cs="Times New Roman"/>
          <w:i/>
          <w:iCs/>
          <w:lang w:eastAsia="fr-FR"/>
        </w:rPr>
        <w:t xml:space="preserve"> La Vie devant so</w:t>
      </w:r>
      <w:r>
        <w:rPr>
          <w:rFonts w:ascii="Calibri" w:eastAsia="Times New Roman" w:hAnsi="Calibri" w:cs="Times New Roman"/>
          <w:lang w:eastAsia="fr-FR"/>
        </w:rPr>
        <w:t>i (1975)</w:t>
      </w:r>
    </w:p>
    <w:p w14:paraId="1E39A4F0" w14:textId="77777777" w:rsidR="007E38C2" w:rsidRDefault="007E38C2" w:rsidP="007E38C2">
      <w:pPr>
        <w:spacing w:after="0"/>
        <w:ind w:firstLine="708"/>
        <w:jc w:val="both"/>
        <w:rPr>
          <w:rFonts w:ascii="Calibri" w:hAnsi="Calibri" w:cs="Calibri"/>
          <w:b/>
          <w:bCs/>
          <w:iCs/>
        </w:rPr>
      </w:pPr>
      <w:r>
        <w:rPr>
          <w:rFonts w:ascii="Calibri" w:eastAsia="Calibri" w:hAnsi="Calibri" w:cs="Calibri"/>
          <w:iCs/>
        </w:rPr>
        <w:t xml:space="preserve">Momo, dix ans, vit depuis tout petit chez Madame Rosa, une ancienne prostituée. Entre la vielle dame juive et le petit </w:t>
      </w:r>
      <w:proofErr w:type="gramStart"/>
      <w:r>
        <w:rPr>
          <w:rFonts w:ascii="Calibri" w:eastAsia="Calibri" w:hAnsi="Calibri" w:cs="Calibri"/>
          <w:iCs/>
        </w:rPr>
        <w:t>musulman,  c’est</w:t>
      </w:r>
      <w:proofErr w:type="gramEnd"/>
      <w:r>
        <w:rPr>
          <w:rFonts w:ascii="Calibri" w:eastAsia="Calibri" w:hAnsi="Calibri" w:cs="Calibri"/>
          <w:iCs/>
        </w:rPr>
        <w:t xml:space="preserve"> une histoire d’amour qui se tisse au quotidien. Le narrateur, vu son âge, a la « vie devant lui ». Pas facile quand la vie « derrière lui » est marquée par de nombreuses souffrances.</w:t>
      </w:r>
      <w:r>
        <w:rPr>
          <w:rFonts w:ascii="Calibri" w:eastAsia="Calibri" w:hAnsi="Calibri" w:cs="Calibri"/>
          <w:b/>
          <w:bCs/>
          <w:iCs/>
        </w:rPr>
        <w:t xml:space="preserve"> Le plaisir du roman</w:t>
      </w:r>
      <w:r>
        <w:rPr>
          <w:rFonts w:ascii="Calibri" w:eastAsia="Calibri" w:hAnsi="Calibri" w:cs="Calibri"/>
          <w:iCs/>
        </w:rPr>
        <w:t xml:space="preserve"> repose sur les thèmes (l’amour, la mort, la recherche du bonheur, la religion) mais aussi sur la manière dont le narrateur, Momo, personnage qui vit </w:t>
      </w:r>
      <w:r>
        <w:rPr>
          <w:rFonts w:ascii="Calibri" w:eastAsia="Calibri" w:hAnsi="Calibri" w:cs="Calibri"/>
          <w:b/>
          <w:bCs/>
          <w:iCs/>
        </w:rPr>
        <w:t>en marge de la société</w:t>
      </w:r>
      <w:r>
        <w:rPr>
          <w:rFonts w:ascii="Calibri" w:eastAsia="Calibri" w:hAnsi="Calibri" w:cs="Calibri"/>
          <w:iCs/>
        </w:rPr>
        <w:t xml:space="preserve">, le raconte : avec beaucoup d’humour, Romain Gary utilise le langage parlé, parfois familier mais toujours teinté de poésie. </w:t>
      </w:r>
      <w:r>
        <w:rPr>
          <w:rFonts w:ascii="Calibri" w:eastAsia="Calibri" w:hAnsi="Calibri" w:cs="Calibri"/>
          <w:b/>
          <w:bCs/>
          <w:iCs/>
        </w:rPr>
        <w:t xml:space="preserve"> </w:t>
      </w:r>
    </w:p>
    <w:p w14:paraId="24795CC9" w14:textId="77777777" w:rsidR="007E38C2" w:rsidRDefault="007E38C2" w:rsidP="007E38C2">
      <w:pPr>
        <w:suppressLineNumbers/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EE95D70" w14:textId="77777777" w:rsidR="007E38C2" w:rsidRDefault="007E38C2" w:rsidP="007E38C2">
      <w:pPr>
        <w:suppressLineNumbers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lang w:eastAsia="fr-FR"/>
        </w:rPr>
        <w:t>Patrick Süskind</w:t>
      </w:r>
      <w:r>
        <w:rPr>
          <w:rFonts w:ascii="Calibri" w:eastAsia="Times New Roman" w:hAnsi="Calibri" w:cs="Times New Roman"/>
          <w:lang w:eastAsia="fr-FR"/>
        </w:rPr>
        <w:t xml:space="preserve">, </w:t>
      </w:r>
      <w:r>
        <w:rPr>
          <w:rFonts w:ascii="Calibri" w:eastAsia="Times New Roman" w:hAnsi="Calibri" w:cs="Times New Roman"/>
          <w:i/>
          <w:iCs/>
          <w:lang w:eastAsia="fr-FR"/>
        </w:rPr>
        <w:t xml:space="preserve">Le Parfum </w:t>
      </w:r>
      <w:r>
        <w:rPr>
          <w:rFonts w:ascii="Calibri" w:eastAsia="Times New Roman" w:hAnsi="Calibri" w:cs="Times New Roman"/>
          <w:lang w:eastAsia="fr-FR"/>
        </w:rPr>
        <w:t>(1985)</w:t>
      </w:r>
    </w:p>
    <w:p w14:paraId="39B28A66" w14:textId="77777777" w:rsidR="007E38C2" w:rsidRDefault="007E38C2" w:rsidP="007E38C2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lang w:bidi="fr-FR"/>
        </w:rPr>
        <w:tab/>
        <w:t xml:space="preserve">Jean-Baptiste Grenouille naît sur l’emplacement de l’ancien cimetière des Innocents à Paris. </w:t>
      </w:r>
      <w:r>
        <w:rPr>
          <w:rFonts w:ascii="Calibri" w:eastAsia="Calibri" w:hAnsi="Calibri" w:cs="Calibri"/>
          <w:b/>
          <w:bCs/>
          <w:color w:val="000000" w:themeColor="text1"/>
          <w:lang w:bidi="fr-FR"/>
        </w:rPr>
        <w:t>Personnage en marge</w:t>
      </w:r>
      <w:r>
        <w:rPr>
          <w:rFonts w:ascii="Calibri" w:eastAsia="Calibri" w:hAnsi="Calibri" w:cs="Calibri"/>
          <w:color w:val="000000" w:themeColor="text1"/>
          <w:lang w:bidi="fr-FR"/>
        </w:rPr>
        <w:t xml:space="preserve">, il est qualifié dans le roman de « scélérat de génie », en effet après avoir assassiné une jeune fille de la rue des Marais, il a une révélation, celle de son génie olfactif, ce qui donne un sens à sa vie. Le </w:t>
      </w:r>
      <w:r>
        <w:rPr>
          <w:rFonts w:ascii="Calibri" w:eastAsia="Calibri" w:hAnsi="Calibri" w:cs="Calibri"/>
          <w:b/>
          <w:bCs/>
          <w:color w:val="000000" w:themeColor="text1"/>
          <w:lang w:bidi="fr-FR"/>
        </w:rPr>
        <w:t>roman</w:t>
      </w:r>
      <w:r>
        <w:rPr>
          <w:rFonts w:ascii="Calibri" w:eastAsia="Calibri" w:hAnsi="Calibri" w:cs="Calibri"/>
          <w:color w:val="000000" w:themeColor="text1"/>
          <w:lang w:bidi="fr-FR"/>
        </w:rPr>
        <w:t xml:space="preserve"> alterne les passages descriptifs, réalistes du Paris du XVIIIème siècle et poétiques.</w:t>
      </w:r>
    </w:p>
    <w:p w14:paraId="11743670" w14:textId="77777777" w:rsidR="007E38C2" w:rsidRDefault="007E38C2" w:rsidP="007E38C2">
      <w:pPr>
        <w:suppressLineNumbers/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32590FD3" w14:textId="77777777" w:rsidR="007E38C2" w:rsidRDefault="007E38C2" w:rsidP="007E38C2">
      <w:pPr>
        <w:suppressLineNumbers/>
        <w:spacing w:line="240" w:lineRule="auto"/>
        <w:contextualSpacing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Emmanuel Carrère</w:t>
      </w:r>
      <w:r>
        <w:rPr>
          <w:rFonts w:ascii="Calibri" w:eastAsia="Times New Roman" w:hAnsi="Calibri" w:cs="Times New Roman"/>
          <w:bCs/>
          <w:i/>
          <w:color w:val="000000"/>
          <w:lang w:eastAsia="fr-FR"/>
        </w:rPr>
        <w:t>, L’Adversaire</w:t>
      </w:r>
      <w:r>
        <w:rPr>
          <w:rFonts w:ascii="Calibri" w:eastAsia="Times New Roman" w:hAnsi="Calibri" w:cs="Times New Roman"/>
          <w:bCs/>
          <w:color w:val="000000"/>
          <w:lang w:eastAsia="fr-FR"/>
        </w:rPr>
        <w:t xml:space="preserve"> (2000)</w:t>
      </w:r>
    </w:p>
    <w:p w14:paraId="1DC0E0C7" w14:textId="77777777" w:rsidR="007E38C2" w:rsidRDefault="007E38C2" w:rsidP="007E38C2">
      <w:pPr>
        <w:suppressLineNumbers/>
        <w:spacing w:line="240" w:lineRule="auto"/>
        <w:ind w:firstLine="708"/>
        <w:contextualSpacing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En 1993, Jean-Claude Romand assassine ses parents, sa femme et ses enfants après 18 ans de mensonges. Carrère choisit d’écrire à Romand, lorsqu’il est emprisonné, non pas pour comprendre les actes mais pour comprendre qui est Romand, </w:t>
      </w: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personnage en marge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par son crime et qui </w:t>
      </w: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s’est marginalisé 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pendant 18 ans de mensonges. C’est aussi un </w:t>
      </w: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personnage romanesque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(son nom : romand !!) car au fond, il n’a jamais été « vrai », il est une fiction pour tous ceux qui l’ont entouré. </w:t>
      </w:r>
    </w:p>
    <w:p w14:paraId="0B7C04F1" w14:textId="77777777" w:rsidR="007E38C2" w:rsidRDefault="007E38C2" w:rsidP="007E38C2">
      <w:pPr>
        <w:suppressLineNumbers/>
        <w:spacing w:line="240" w:lineRule="auto"/>
        <w:contextualSpacing/>
        <w:jc w:val="both"/>
        <w:rPr>
          <w:rFonts w:ascii="Calibri" w:eastAsia="Times New Roman" w:hAnsi="Calibri" w:cs="Times New Roman"/>
          <w:color w:val="000000"/>
        </w:rPr>
      </w:pPr>
    </w:p>
    <w:p w14:paraId="2FD65271" w14:textId="77777777" w:rsidR="007E38C2" w:rsidRDefault="007E38C2" w:rsidP="007E38C2">
      <w:pPr>
        <w:suppressLineNumbers/>
        <w:spacing w:line="240" w:lineRule="auto"/>
        <w:contextualSpacing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  <w:lang w:eastAsia="fr-FR"/>
        </w:rPr>
        <w:t>Laurent Gaudé</w:t>
      </w:r>
      <w:r>
        <w:rPr>
          <w:rFonts w:ascii="Calibri" w:eastAsia="Times New Roman" w:hAnsi="Calibri" w:cs="Times New Roman"/>
          <w:bCs/>
          <w:color w:val="000000"/>
          <w:lang w:eastAsia="fr-FR"/>
        </w:rPr>
        <w:t xml:space="preserve">, </w:t>
      </w:r>
      <w:r>
        <w:rPr>
          <w:rFonts w:ascii="Calibri" w:eastAsia="Times New Roman" w:hAnsi="Calibri" w:cs="Times New Roman"/>
          <w:bCs/>
          <w:i/>
          <w:iCs/>
          <w:color w:val="000000"/>
          <w:lang w:eastAsia="fr-FR"/>
        </w:rPr>
        <w:t xml:space="preserve">Salina : les trois exils </w:t>
      </w:r>
      <w:r>
        <w:rPr>
          <w:rFonts w:ascii="Calibri" w:eastAsia="Times New Roman" w:hAnsi="Calibri" w:cs="Times New Roman"/>
          <w:bCs/>
          <w:color w:val="000000"/>
          <w:lang w:eastAsia="fr-FR"/>
        </w:rPr>
        <w:t>(2003)</w:t>
      </w:r>
    </w:p>
    <w:p w14:paraId="4C257811" w14:textId="77777777" w:rsidR="007E38C2" w:rsidRDefault="007E38C2" w:rsidP="007E38C2">
      <w:pPr>
        <w:suppressLineNumbers/>
        <w:spacing w:line="240" w:lineRule="auto"/>
        <w:contextualSpacing/>
        <w:jc w:val="both"/>
        <w:rPr>
          <w:rFonts w:ascii="Calibri" w:eastAsia="Times New Roman" w:hAnsi="Calibri" w:cs="Times New Roman"/>
          <w:color w:val="000000"/>
        </w:rPr>
      </w:pPr>
    </w:p>
    <w:p w14:paraId="5CD6DD74" w14:textId="547BF4CC" w:rsidR="002F7298" w:rsidRDefault="007E38C2" w:rsidP="007E38C2">
      <w:r>
        <w:rPr>
          <w:rFonts w:ascii="Calibri" w:eastAsia="Calibri" w:hAnsi="Calibri" w:cs="Calibri"/>
        </w:rPr>
        <w:t xml:space="preserve">Ce court roman qui s’apparente à un conte, se déroule dans un cadra spatio-temporel indéterminé dans le désert aride d’une Afrique imaginaire. A la </w:t>
      </w:r>
      <w:proofErr w:type="gramStart"/>
      <w:r>
        <w:rPr>
          <w:rFonts w:ascii="Calibri" w:eastAsia="Calibri" w:hAnsi="Calibri" w:cs="Calibri"/>
        </w:rPr>
        <w:t>mort  de</w:t>
      </w:r>
      <w:proofErr w:type="gramEnd"/>
      <w:r>
        <w:rPr>
          <w:rFonts w:ascii="Calibri" w:eastAsia="Calibri" w:hAnsi="Calibri" w:cs="Calibri"/>
        </w:rPr>
        <w:t xml:space="preserve"> Salina, son dernier fils, </w:t>
      </w:r>
      <w:proofErr w:type="spellStart"/>
      <w:r>
        <w:rPr>
          <w:rFonts w:ascii="Calibri" w:eastAsia="Calibri" w:hAnsi="Calibri" w:cs="Calibri"/>
        </w:rPr>
        <w:t>Malaka</w:t>
      </w:r>
      <w:proofErr w:type="spellEnd"/>
      <w:r>
        <w:rPr>
          <w:rFonts w:ascii="Calibri" w:eastAsia="Calibri" w:hAnsi="Calibri" w:cs="Calibri"/>
        </w:rPr>
        <w:t xml:space="preserve">, raconte sa vie afin qu’elle devienne légende. Salina apparaît alors comme un </w:t>
      </w:r>
      <w:r>
        <w:rPr>
          <w:rFonts w:ascii="Calibri" w:eastAsia="Calibri" w:hAnsi="Calibri" w:cs="Calibri"/>
          <w:b/>
          <w:bCs/>
        </w:rPr>
        <w:t>personnage en marge </w:t>
      </w:r>
      <w:r>
        <w:rPr>
          <w:rFonts w:ascii="Calibri" w:eastAsia="Calibri" w:hAnsi="Calibri" w:cs="Calibri"/>
        </w:rPr>
        <w:t xml:space="preserve">: trois fois exilée, elle incarne le rejet de l’étrangère par les hommes, la liberté et la vengeance, comme une quête de justice. </w:t>
      </w:r>
      <w:r>
        <w:rPr>
          <w:rFonts w:ascii="Calibri" w:eastAsia="Calibri" w:hAnsi="Calibri" w:cs="Calibri"/>
          <w:b/>
          <w:bCs/>
        </w:rPr>
        <w:t xml:space="preserve">Le roman </w:t>
      </w:r>
      <w:r>
        <w:rPr>
          <w:rFonts w:ascii="Calibri" w:eastAsia="Calibri" w:hAnsi="Calibri" w:cs="Calibri"/>
        </w:rPr>
        <w:t xml:space="preserve">commence par un récit omniscient puis par le récit de </w:t>
      </w:r>
      <w:proofErr w:type="spellStart"/>
      <w:r>
        <w:rPr>
          <w:rFonts w:ascii="Calibri" w:eastAsia="Calibri" w:hAnsi="Calibri" w:cs="Calibri"/>
        </w:rPr>
        <w:t>Malaka</w:t>
      </w:r>
      <w:proofErr w:type="spellEnd"/>
      <w:r>
        <w:rPr>
          <w:rFonts w:ascii="Calibri" w:eastAsia="Calibri" w:hAnsi="Calibri" w:cs="Calibri"/>
        </w:rPr>
        <w:t xml:space="preserve">.  </w:t>
      </w:r>
    </w:p>
    <w:sectPr w:rsidR="002F7298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2D5F" w14:textId="77777777" w:rsidR="00B52303" w:rsidRDefault="00B52303">
      <w:pPr>
        <w:spacing w:after="0" w:line="240" w:lineRule="auto"/>
      </w:pPr>
      <w:r>
        <w:separator/>
      </w:r>
    </w:p>
  </w:endnote>
  <w:endnote w:type="continuationSeparator" w:id="0">
    <w:p w14:paraId="4F4C250B" w14:textId="77777777" w:rsidR="00B52303" w:rsidRDefault="00B5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A8FC" w14:textId="77777777" w:rsidR="00B52303" w:rsidRDefault="00B52303">
      <w:pPr>
        <w:spacing w:after="0" w:line="240" w:lineRule="auto"/>
      </w:pPr>
      <w:r>
        <w:separator/>
      </w:r>
    </w:p>
  </w:footnote>
  <w:footnote w:type="continuationSeparator" w:id="0">
    <w:p w14:paraId="1F1F9AC4" w14:textId="77777777" w:rsidR="00B52303" w:rsidRDefault="00B5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02BCB"/>
    <w:multiLevelType w:val="multilevel"/>
    <w:tmpl w:val="71D6A77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209662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98"/>
    <w:rsid w:val="002B3516"/>
    <w:rsid w:val="002F7298"/>
    <w:rsid w:val="00433338"/>
    <w:rsid w:val="006039CF"/>
    <w:rsid w:val="007E38C2"/>
    <w:rsid w:val="008D416D"/>
    <w:rsid w:val="00B5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C7DF"/>
  <w15:docId w15:val="{7E0AF18E-43E6-F14A-B143-F15E453B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1">
    <w:name w:val="p1"/>
    <w:basedOn w:val="Normal"/>
    <w:rsid w:val="007E38C2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eastAsia="fr-FR"/>
    </w:rPr>
  </w:style>
  <w:style w:type="paragraph" w:customStyle="1" w:styleId="p2">
    <w:name w:val="p2"/>
    <w:basedOn w:val="Normal"/>
    <w:rsid w:val="007E38C2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fr-FR"/>
    </w:rPr>
  </w:style>
  <w:style w:type="paragraph" w:customStyle="1" w:styleId="p3">
    <w:name w:val="p3"/>
    <w:basedOn w:val="Normal"/>
    <w:rsid w:val="007E38C2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Rocard</dc:creator>
  <cp:lastModifiedBy>Alain Rocard</cp:lastModifiedBy>
  <cp:revision>2</cp:revision>
  <dcterms:created xsi:type="dcterms:W3CDTF">2025-10-13T10:27:00Z</dcterms:created>
  <dcterms:modified xsi:type="dcterms:W3CDTF">2025-10-13T10:27:00Z</dcterms:modified>
</cp:coreProperties>
</file>